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F7" w:rsidRDefault="005B2AA4">
      <w:pPr>
        <w:pStyle w:val="a3"/>
        <w:tabs>
          <w:tab w:val="left" w:pos="5031"/>
        </w:tabs>
        <w:spacing w:before="67"/>
        <w:ind w:left="2295" w:right="2292"/>
        <w:jc w:val="center"/>
      </w:pPr>
      <w:bookmarkStart w:id="0" w:name="_GoBack"/>
      <w:bookmarkEnd w:id="0"/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</w:t>
      </w:r>
      <w:r>
        <w:tab/>
        <w:t>Ф</w:t>
      </w:r>
      <w:r>
        <w:rPr>
          <w:spacing w:val="-3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Ц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 Б Е Л Г О Р О Д С К А Я</w:t>
      </w:r>
      <w:r>
        <w:rPr>
          <w:spacing w:val="80"/>
        </w:rPr>
        <w:t xml:space="preserve"> </w:t>
      </w:r>
      <w:r>
        <w:t>О Б Л А С Т Ь</w:t>
      </w:r>
    </w:p>
    <w:p w:rsidR="004378F7" w:rsidRDefault="005B2AA4">
      <w:pPr>
        <w:pStyle w:val="a3"/>
        <w:spacing w:line="321" w:lineRule="exact"/>
        <w:ind w:left="5"/>
        <w:jc w:val="center"/>
      </w:pPr>
      <w:r>
        <w:t>МУНИЦИПАЛЬНЫЙ</w:t>
      </w:r>
      <w:r>
        <w:rPr>
          <w:spacing w:val="43"/>
        </w:rPr>
        <w:t xml:space="preserve"> </w:t>
      </w:r>
      <w:r>
        <w:t>РАЙОН</w:t>
      </w:r>
      <w:r>
        <w:rPr>
          <w:spacing w:val="-11"/>
        </w:rPr>
        <w:t xml:space="preserve"> </w:t>
      </w:r>
      <w:r>
        <w:t>«ВЕЙДЕЛЕВСКИЙ</w:t>
      </w:r>
      <w:r>
        <w:rPr>
          <w:spacing w:val="-15"/>
        </w:rPr>
        <w:t xml:space="preserve"> </w:t>
      </w:r>
      <w:r>
        <w:rPr>
          <w:spacing w:val="-2"/>
        </w:rPr>
        <w:t>РАЙОН»</w:t>
      </w:r>
    </w:p>
    <w:p w:rsidR="004378F7" w:rsidRDefault="005B2AA4">
      <w:pPr>
        <w:pStyle w:val="a3"/>
        <w:spacing w:before="2"/>
        <w:ind w:left="0"/>
        <w:jc w:val="left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97277</wp:posOffset>
            </wp:positionV>
            <wp:extent cx="603597" cy="74666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97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433" w:rsidRPr="00617433" w:rsidRDefault="00617433" w:rsidP="00617433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617433">
        <w:rPr>
          <w:rFonts w:eastAsia="Calibri"/>
          <w:bCs/>
          <w:sz w:val="28"/>
          <w:szCs w:val="28"/>
        </w:rPr>
        <w:t>ЗЕМСКОЕ СОБРАНИЕ</w:t>
      </w:r>
    </w:p>
    <w:p w:rsidR="00617433" w:rsidRPr="00617433" w:rsidRDefault="00617433" w:rsidP="00617433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617433">
        <w:rPr>
          <w:rFonts w:eastAsia="Calibri"/>
          <w:bCs/>
          <w:sz w:val="28"/>
          <w:szCs w:val="28"/>
        </w:rPr>
        <w:t>СОЛОНЦИНСКОГО СЕЛЬСКОГО ПОСЕЛЕНИЯ</w:t>
      </w:r>
    </w:p>
    <w:p w:rsidR="00617433" w:rsidRPr="00617433" w:rsidRDefault="00617433" w:rsidP="00617433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617433">
        <w:rPr>
          <w:rFonts w:eastAsia="Calibri"/>
          <w:bCs/>
          <w:sz w:val="28"/>
          <w:szCs w:val="28"/>
        </w:rPr>
        <w:t>ПЯТОГО СОЗЫВА</w:t>
      </w:r>
    </w:p>
    <w:p w:rsidR="004378F7" w:rsidRDefault="004378F7">
      <w:pPr>
        <w:pStyle w:val="a3"/>
        <w:spacing w:before="9"/>
        <w:ind w:left="0"/>
        <w:jc w:val="left"/>
      </w:pPr>
    </w:p>
    <w:p w:rsidR="004378F7" w:rsidRDefault="005B2AA4">
      <w:pPr>
        <w:ind w:left="14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4378F7" w:rsidRDefault="00617433">
      <w:pPr>
        <w:pStyle w:val="a3"/>
        <w:tabs>
          <w:tab w:val="left" w:pos="8791"/>
        </w:tabs>
        <w:spacing w:before="316"/>
      </w:pPr>
      <w:r>
        <w:t>07 но</w:t>
      </w:r>
      <w:r w:rsidR="005B2AA4">
        <w:t>ября</w:t>
      </w:r>
      <w:r w:rsidR="005B2AA4">
        <w:rPr>
          <w:spacing w:val="-3"/>
        </w:rPr>
        <w:t xml:space="preserve"> </w:t>
      </w:r>
      <w:r w:rsidR="005B2AA4">
        <w:t>2024</w:t>
      </w:r>
      <w:r w:rsidR="005B2AA4">
        <w:rPr>
          <w:spacing w:val="-5"/>
        </w:rPr>
        <w:t xml:space="preserve"> </w:t>
      </w:r>
      <w:r w:rsidR="005B2AA4">
        <w:rPr>
          <w:spacing w:val="-4"/>
        </w:rPr>
        <w:t>года</w:t>
      </w:r>
      <w:r w:rsidR="005B2AA4">
        <w:tab/>
      </w:r>
      <w:r>
        <w:rPr>
          <w:spacing w:val="-5"/>
        </w:rPr>
        <w:t>№2</w:t>
      </w:r>
    </w:p>
    <w:p w:rsidR="004378F7" w:rsidRDefault="004378F7">
      <w:pPr>
        <w:pStyle w:val="a3"/>
        <w:spacing w:before="235"/>
        <w:ind w:left="0"/>
        <w:jc w:val="left"/>
      </w:pPr>
    </w:p>
    <w:p w:rsidR="004378F7" w:rsidRDefault="005B2AA4">
      <w:pPr>
        <w:ind w:left="134" w:right="127" w:hanging="6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и дополнений в решение земского собрания </w:t>
      </w:r>
      <w:proofErr w:type="spellStart"/>
      <w:r w:rsidR="00617433">
        <w:rPr>
          <w:b/>
          <w:sz w:val="28"/>
        </w:rPr>
        <w:t>Солонцинского</w:t>
      </w:r>
      <w:proofErr w:type="spellEnd"/>
      <w:r w:rsidR="00617433">
        <w:rPr>
          <w:b/>
          <w:sz w:val="28"/>
        </w:rPr>
        <w:t xml:space="preserve"> сельского поселения от 29.04.2016 года №3</w:t>
      </w:r>
      <w:r>
        <w:rPr>
          <w:b/>
          <w:sz w:val="28"/>
        </w:rPr>
        <w:t xml:space="preserve"> «Об утверждении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устройстве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процессе в </w:t>
      </w:r>
      <w:proofErr w:type="spellStart"/>
      <w:r w:rsidR="00617433">
        <w:rPr>
          <w:b/>
          <w:sz w:val="28"/>
        </w:rPr>
        <w:t>Солонцинском</w:t>
      </w:r>
      <w:proofErr w:type="spellEnd"/>
      <w:r>
        <w:rPr>
          <w:b/>
          <w:sz w:val="28"/>
        </w:rPr>
        <w:t xml:space="preserve"> сельском поселении муниципального района</w:t>
      </w:r>
    </w:p>
    <w:p w:rsidR="004378F7" w:rsidRDefault="005B2AA4">
      <w:pPr>
        <w:spacing w:line="321" w:lineRule="exact"/>
        <w:ind w:left="5" w:right="4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Вейделевский</w:t>
      </w:r>
      <w:proofErr w:type="spell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области»</w:t>
      </w:r>
    </w:p>
    <w:p w:rsidR="004378F7" w:rsidRDefault="005B2AA4">
      <w:pPr>
        <w:pStyle w:val="a3"/>
        <w:spacing w:before="317"/>
        <w:ind w:right="107" w:firstLine="494"/>
        <w:rPr>
          <w:b/>
        </w:rPr>
      </w:pPr>
      <w:r>
        <w:t xml:space="preserve">В соответствии с Федеральным законом от 13.07.2024 г. №177-ФЗ «О внесении изменений в Бюджетный кодекс Российской Федерации и отдельные законодательные акты Российской Федерации», руководствуясь предложением прокуратуры </w:t>
      </w:r>
      <w:proofErr w:type="spellStart"/>
      <w:r>
        <w:t>Вейделевского</w:t>
      </w:r>
      <w:proofErr w:type="spellEnd"/>
      <w:r>
        <w:t xml:space="preserve"> района от 25.10.2024 года и Уставом </w:t>
      </w:r>
      <w:proofErr w:type="spellStart"/>
      <w:r w:rsidR="00617433">
        <w:t>Солонцинского</w:t>
      </w:r>
      <w:proofErr w:type="spellEnd"/>
      <w:r>
        <w:t xml:space="preserve"> сельского поселения,</w:t>
      </w:r>
      <w:r>
        <w:rPr>
          <w:spacing w:val="40"/>
        </w:rPr>
        <w:t xml:space="preserve"> </w:t>
      </w:r>
      <w:r>
        <w:t xml:space="preserve">земское собрание </w:t>
      </w:r>
      <w:proofErr w:type="spellStart"/>
      <w:r w:rsidR="00617433">
        <w:t>Солонцинского</w:t>
      </w:r>
      <w:proofErr w:type="spellEnd"/>
      <w:r>
        <w:t xml:space="preserve"> сельского поселения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4378F7" w:rsidRDefault="005B2AA4">
      <w:pPr>
        <w:pStyle w:val="a4"/>
        <w:numPr>
          <w:ilvl w:val="0"/>
          <w:numId w:val="1"/>
        </w:numPr>
        <w:tabs>
          <w:tab w:val="left" w:pos="824"/>
        </w:tabs>
        <w:spacing w:before="3"/>
        <w:ind w:right="109" w:firstLine="0"/>
        <w:jc w:val="both"/>
        <w:rPr>
          <w:sz w:val="28"/>
        </w:rPr>
      </w:pPr>
      <w:r>
        <w:rPr>
          <w:sz w:val="28"/>
        </w:rPr>
        <w:t xml:space="preserve">Внести в решение земского собрания </w:t>
      </w:r>
      <w:proofErr w:type="spellStart"/>
      <w:r w:rsidR="00617433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район» Белгородской обл</w:t>
      </w:r>
      <w:r w:rsidR="00617433">
        <w:rPr>
          <w:sz w:val="28"/>
        </w:rPr>
        <w:t>асти от 29.04.2016 года №3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 утверждении Положения о бюджетном устройстве и бюджетном процессе в </w:t>
      </w:r>
      <w:proofErr w:type="spellStart"/>
      <w:r w:rsidR="00617433">
        <w:rPr>
          <w:sz w:val="28"/>
        </w:rPr>
        <w:t>Солонцинском</w:t>
      </w:r>
      <w:proofErr w:type="spellEnd"/>
      <w:r>
        <w:rPr>
          <w:sz w:val="28"/>
        </w:rPr>
        <w:t xml:space="preserve"> сельском</w:t>
      </w:r>
      <w:r>
        <w:rPr>
          <w:spacing w:val="80"/>
          <w:sz w:val="28"/>
        </w:rPr>
        <w:t xml:space="preserve"> </w:t>
      </w:r>
      <w:r>
        <w:rPr>
          <w:sz w:val="28"/>
        </w:rPr>
        <w:t>поселении муниципального района «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район» Белгородской области» (далее - Положение) следующие изменения и дополнения:</w:t>
      </w:r>
    </w:p>
    <w:p w:rsidR="004378F7" w:rsidRPr="00617433" w:rsidRDefault="005B2AA4">
      <w:pPr>
        <w:pStyle w:val="a4"/>
        <w:numPr>
          <w:ilvl w:val="1"/>
          <w:numId w:val="1"/>
        </w:numPr>
        <w:tabs>
          <w:tab w:val="left" w:pos="824"/>
        </w:tabs>
        <w:ind w:right="106" w:firstLine="0"/>
        <w:jc w:val="both"/>
        <w:rPr>
          <w:color w:val="000000" w:themeColor="text1"/>
          <w:sz w:val="28"/>
        </w:rPr>
      </w:pPr>
      <w:r w:rsidRPr="00617433">
        <w:rPr>
          <w:color w:val="000000" w:themeColor="text1"/>
          <w:sz w:val="28"/>
        </w:rPr>
        <w:t>в абзаце 5 статьи 3 Положения слова</w:t>
      </w:r>
      <w:r w:rsidRPr="00617433">
        <w:rPr>
          <w:color w:val="000000" w:themeColor="text1"/>
          <w:spacing w:val="40"/>
          <w:sz w:val="28"/>
        </w:rPr>
        <w:t xml:space="preserve"> </w:t>
      </w:r>
      <w:r w:rsidRPr="00617433">
        <w:rPr>
          <w:color w:val="000000" w:themeColor="text1"/>
          <w:sz w:val="28"/>
        </w:rPr>
        <w:t>«размере или имеющие установленный порядок его индексации» заменить словами «размере и (или) порядке расчета размера (индексации)»;</w:t>
      </w:r>
    </w:p>
    <w:p w:rsidR="004378F7" w:rsidRDefault="005B2AA4">
      <w:pPr>
        <w:pStyle w:val="a4"/>
        <w:numPr>
          <w:ilvl w:val="1"/>
          <w:numId w:val="1"/>
        </w:numPr>
        <w:tabs>
          <w:tab w:val="left" w:pos="824"/>
        </w:tabs>
        <w:spacing w:line="321" w:lineRule="exact"/>
        <w:ind w:left="824" w:hanging="705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4378F7" w:rsidRDefault="005B2AA4">
      <w:pPr>
        <w:pStyle w:val="a3"/>
        <w:ind w:right="106"/>
      </w:pPr>
      <w:proofErr w:type="gramStart"/>
      <w:r>
        <w:t xml:space="preserve">«1)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</w:t>
      </w:r>
      <w:hyperlink r:id="rId7" w:anchor="dst1355">
        <w:r>
          <w:rPr>
            <w:u w:val="single"/>
          </w:rPr>
          <w:t>законодательством</w:t>
        </w:r>
      </w:hyperlink>
      <w:r>
        <w:rPr>
          <w:spacing w:val="-1"/>
        </w:rPr>
        <w:t xml:space="preserve"> </w:t>
      </w:r>
      <w:r>
        <w:t>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</w:t>
      </w:r>
      <w:r>
        <w:rPr>
          <w:spacing w:val="79"/>
        </w:rPr>
        <w:t xml:space="preserve"> </w:t>
      </w:r>
      <w:r>
        <w:t>которых</w:t>
      </w:r>
      <w:r>
        <w:rPr>
          <w:spacing w:val="74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r>
        <w:t>Российской</w:t>
      </w:r>
      <w:r>
        <w:rPr>
          <w:spacing w:val="79"/>
        </w:rPr>
        <w:t xml:space="preserve"> </w:t>
      </w:r>
      <w:r>
        <w:t>Федерации</w:t>
      </w:r>
      <w:proofErr w:type="gramEnd"/>
    </w:p>
    <w:p w:rsidR="004378F7" w:rsidRDefault="004378F7">
      <w:pPr>
        <w:sectPr w:rsidR="004378F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4378F7" w:rsidRDefault="005B2AA4">
      <w:pPr>
        <w:pStyle w:val="a3"/>
        <w:spacing w:before="67"/>
        <w:ind w:right="111"/>
      </w:pPr>
      <w:r>
        <w:lastRenderedPageBreak/>
        <w:t xml:space="preserve">соответствующая закупка включению в такой план-график не подлежит), и оплачиваются в пределах лимитов бюджетных обязательств, за исключением случаев, установленных </w:t>
      </w:r>
      <w:hyperlink r:id="rId8" w:anchor="dst103123">
        <w:r>
          <w:t>пунктом 3</w:t>
        </w:r>
      </w:hyperlink>
      <w:r>
        <w:t xml:space="preserve"> настоящей статьи</w:t>
      </w:r>
      <w:proofErr w:type="gramStart"/>
      <w:r>
        <w:t>.»;</w:t>
      </w:r>
      <w:proofErr w:type="gramEnd"/>
    </w:p>
    <w:p w:rsidR="004378F7" w:rsidRDefault="005B2AA4">
      <w:pPr>
        <w:pStyle w:val="a4"/>
        <w:numPr>
          <w:ilvl w:val="1"/>
          <w:numId w:val="1"/>
        </w:numPr>
        <w:tabs>
          <w:tab w:val="left" w:pos="824"/>
        </w:tabs>
        <w:spacing w:line="321" w:lineRule="exact"/>
        <w:ind w:left="824" w:hanging="705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4378F7" w:rsidRDefault="005B2AA4">
      <w:pPr>
        <w:pStyle w:val="a3"/>
        <w:spacing w:before="6"/>
        <w:ind w:right="115"/>
      </w:pPr>
      <w:r>
        <w:t>«2)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</w:t>
      </w:r>
      <w:r>
        <w:rPr>
          <w:spacing w:val="40"/>
        </w:rPr>
        <w:t xml:space="preserve"> </w:t>
      </w:r>
      <w:r>
        <w:t>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4378F7" w:rsidRDefault="005B2AA4">
      <w:pPr>
        <w:pStyle w:val="a3"/>
        <w:ind w:right="103" w:firstLine="494"/>
      </w:pPr>
      <w:proofErr w:type="gramStart"/>
      <w:r>
        <w:t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proofErr w:type="spellStart"/>
      <w:r>
        <w:t>концедента</w:t>
      </w:r>
      <w:proofErr w:type="spellEnd"/>
      <w:r>
        <w:t>,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гранта),</w:t>
      </w:r>
      <w:r>
        <w:rPr>
          <w:spacing w:val="-1"/>
        </w:rPr>
        <w:t xml:space="preserve"> </w:t>
      </w:r>
      <w:r>
        <w:t xml:space="preserve">обязательств перед юридическими лицами, являющимися стороной соглашений о </w:t>
      </w:r>
      <w:proofErr w:type="spellStart"/>
      <w:r>
        <w:t>муниципально</w:t>
      </w:r>
      <w:proofErr w:type="spellEnd"/>
      <w:r>
        <w:t>-частном партнерстве, обязательств по уплате лизинговых платежей по договорам финансовой аренды (лизинга), не должен превышать утвержденный решением</w:t>
      </w:r>
      <w:proofErr w:type="gramEnd"/>
      <w:r>
        <w:t xml:space="preserve"> о местном бюджете на очередной финансовый год</w:t>
      </w:r>
      <w:r>
        <w:rPr>
          <w:spacing w:val="80"/>
        </w:rPr>
        <w:t xml:space="preserve"> </w:t>
      </w:r>
      <w:r>
        <w:t xml:space="preserve">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>
        <w:t>муниципальн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</w:t>
      </w:r>
      <w:proofErr w:type="gramStart"/>
      <w:r>
        <w:t>о-</w:t>
      </w:r>
      <w:proofErr w:type="gramEnd"/>
      <w:r>
        <w:t xml:space="preserve"> 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4378F7" w:rsidRDefault="005B2AA4">
      <w:pPr>
        <w:pStyle w:val="a3"/>
        <w:spacing w:before="1"/>
        <w:ind w:right="109" w:firstLine="355"/>
      </w:pPr>
      <w:proofErr w:type="gramStart"/>
      <w:r>
        <w:t>Для</w:t>
      </w:r>
      <w:r>
        <w:rPr>
          <w:spacing w:val="-1"/>
        </w:rPr>
        <w:t xml:space="preserve"> </w:t>
      </w:r>
      <w:r>
        <w:t>муниципального образования, в отношении которого осуществляются меры, предусмотренные</w:t>
      </w:r>
      <w:r>
        <w:rPr>
          <w:spacing w:val="-1"/>
        </w:rPr>
        <w:t xml:space="preserve"> </w:t>
      </w:r>
      <w:hyperlink r:id="rId9" w:anchor="dst7576">
        <w:r>
          <w:t>пунктом 4 статьи 136</w:t>
        </w:r>
      </w:hyperlink>
      <w:r>
        <w:rPr>
          <w:spacing w:val="-2"/>
        </w:rPr>
        <w:t xml:space="preserve"> </w:t>
      </w:r>
      <w:r>
        <w:t xml:space="preserve">Бюджетного Кодекса,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>
        <w:t>концедента</w:t>
      </w:r>
      <w:proofErr w:type="spellEnd"/>
      <w: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>
        <w:t>муниципально</w:t>
      </w:r>
      <w:proofErr w:type="spellEnd"/>
      <w:r>
        <w:t>-частном 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>
        <w:t xml:space="preserve">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</w:t>
      </w:r>
      <w:r>
        <w:rPr>
          <w:spacing w:val="68"/>
        </w:rPr>
        <w:t xml:space="preserve">   </w:t>
      </w:r>
      <w:r>
        <w:t>в</w:t>
      </w:r>
      <w:r>
        <w:rPr>
          <w:spacing w:val="69"/>
        </w:rPr>
        <w:t xml:space="preserve">   </w:t>
      </w:r>
      <w:r>
        <w:t>целях</w:t>
      </w:r>
      <w:r>
        <w:rPr>
          <w:spacing w:val="67"/>
        </w:rPr>
        <w:t xml:space="preserve">   </w:t>
      </w:r>
      <w:proofErr w:type="spellStart"/>
      <w:r>
        <w:t>софинансирования</w:t>
      </w:r>
      <w:proofErr w:type="spellEnd"/>
      <w:r>
        <w:rPr>
          <w:spacing w:val="69"/>
        </w:rPr>
        <w:t xml:space="preserve">   </w:t>
      </w:r>
      <w:r>
        <w:t>расходных</w:t>
      </w:r>
      <w:r>
        <w:rPr>
          <w:spacing w:val="68"/>
        </w:rPr>
        <w:t xml:space="preserve">   </w:t>
      </w:r>
      <w:r>
        <w:rPr>
          <w:spacing w:val="-2"/>
        </w:rPr>
        <w:t>обязательств</w:t>
      </w:r>
    </w:p>
    <w:p w:rsidR="004378F7" w:rsidRDefault="004378F7">
      <w:pPr>
        <w:sectPr w:rsidR="004378F7">
          <w:pgSz w:w="11910" w:h="16840"/>
          <w:pgMar w:top="1040" w:right="740" w:bottom="280" w:left="1580" w:header="720" w:footer="720" w:gutter="0"/>
          <w:cols w:space="720"/>
        </w:sectPr>
      </w:pPr>
    </w:p>
    <w:p w:rsidR="004378F7" w:rsidRDefault="005B2AA4">
      <w:pPr>
        <w:pStyle w:val="a3"/>
        <w:spacing w:before="67"/>
        <w:ind w:right="106"/>
      </w:pPr>
      <w:r>
        <w:lastRenderedPageBreak/>
        <w:t xml:space="preserve">муниципальных образований, возникающих при исполнении указанных концессионных соглашений, соглашений о </w:t>
      </w:r>
      <w:proofErr w:type="spellStart"/>
      <w:r>
        <w:t>муниципально</w:t>
      </w:r>
      <w:proofErr w:type="spellEnd"/>
      <w:r>
        <w:t>-частном партнерстве, договоров финансовой аренды (лизинга), а также</w:t>
      </w:r>
      <w:r>
        <w:rPr>
          <w:spacing w:val="80"/>
        </w:rPr>
        <w:t xml:space="preserve"> </w:t>
      </w:r>
      <w:r>
        <w:t>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</w:t>
      </w:r>
      <w:proofErr w:type="gramStart"/>
      <w:r>
        <w:t>о-</w:t>
      </w:r>
      <w:proofErr w:type="gramEnd"/>
      <w:r>
        <w:t xml:space="preserve"> 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4378F7" w:rsidRDefault="005B2AA4">
      <w:pPr>
        <w:pStyle w:val="a3"/>
        <w:spacing w:before="3"/>
        <w:ind w:right="109" w:firstLine="355"/>
      </w:pPr>
      <w:r>
        <w:t xml:space="preserve">Указанное ограничение не распространяется на концессионные соглашения, соглашения о </w:t>
      </w:r>
      <w:proofErr w:type="spellStart"/>
      <w:r>
        <w:t>муниципально</w:t>
      </w:r>
      <w:proofErr w:type="spellEnd"/>
      <w:r>
        <w:t>-частном партнерстве, договоры финансовой аренды (лизинга), заключенные до 1 января 2025 года.</w:t>
      </w:r>
    </w:p>
    <w:p w:rsidR="004378F7" w:rsidRDefault="005B2AA4">
      <w:pPr>
        <w:pStyle w:val="a3"/>
        <w:tabs>
          <w:tab w:val="left" w:pos="3358"/>
          <w:tab w:val="left" w:pos="6443"/>
        </w:tabs>
        <w:ind w:right="106" w:firstLine="422"/>
      </w:pPr>
      <w:r>
        <w:t>Общий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обязательств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указанных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hyperlink r:id="rId10" w:anchor="dst7645">
        <w:r>
          <w:t>абзацах</w:t>
        </w:r>
        <w:r>
          <w:rPr>
            <w:spacing w:val="40"/>
          </w:rPr>
          <w:t xml:space="preserve"> </w:t>
        </w:r>
        <w:r>
          <w:t>втором</w:t>
        </w:r>
      </w:hyperlink>
      <w:r>
        <w:t xml:space="preserve"> и</w:t>
      </w:r>
      <w:r>
        <w:rPr>
          <w:spacing w:val="-1"/>
        </w:rPr>
        <w:t xml:space="preserve"> </w:t>
      </w:r>
      <w:hyperlink r:id="rId11" w:anchor="dst7646">
        <w:r>
          <w:t>третьем</w:t>
        </w:r>
      </w:hyperlink>
      <w:r>
        <w:t xml:space="preserve"> настоящего</w:t>
      </w:r>
      <w:r>
        <w:rPr>
          <w:spacing w:val="40"/>
        </w:rPr>
        <w:t xml:space="preserve"> </w:t>
      </w:r>
      <w:r>
        <w:t>пункта,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отражаться</w:t>
      </w:r>
      <w:r>
        <w:rPr>
          <w:spacing w:val="40"/>
        </w:rPr>
        <w:t xml:space="preserve"> </w:t>
      </w:r>
      <w:r>
        <w:t xml:space="preserve">в бюджетном прогнозе муниципального образования на долгосрочный период. </w:t>
      </w:r>
      <w:proofErr w:type="gramStart"/>
      <w:r>
        <w:t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платы</w:t>
      </w:r>
      <w:r>
        <w:rPr>
          <w:spacing w:val="-4"/>
        </w:rPr>
        <w:t xml:space="preserve"> </w:t>
      </w:r>
      <w:proofErr w:type="spellStart"/>
      <w:r>
        <w:t>концедента</w:t>
      </w:r>
      <w:proofErr w:type="spellEnd"/>
      <w:r>
        <w:t>,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гранта),</w:t>
      </w:r>
      <w:r>
        <w:rPr>
          <w:spacing w:val="-1"/>
        </w:rPr>
        <w:t xml:space="preserve"> </w:t>
      </w:r>
      <w:r>
        <w:t xml:space="preserve">обязательств перед юридическими лицами, являющимися стороной соглашений о </w:t>
      </w:r>
      <w:proofErr w:type="spellStart"/>
      <w:r>
        <w:t>муниципально</w:t>
      </w:r>
      <w:proofErr w:type="spellEnd"/>
      <w:r>
        <w:t>-частном партнерстве, а также обязательств по уплате лизинговых платежей по договорам финансовой аренды (лизинга), по</w:t>
      </w:r>
      <w:r>
        <w:rPr>
          <w:spacing w:val="40"/>
        </w:rPr>
        <w:t xml:space="preserve"> </w:t>
      </w:r>
      <w:r>
        <w:t>данным годового отчета</w:t>
      </w:r>
      <w:proofErr w:type="gramEnd"/>
      <w:r>
        <w:t xml:space="preserve"> об исполнении местного бюджета должен </w:t>
      </w:r>
      <w:r>
        <w:rPr>
          <w:spacing w:val="-2"/>
        </w:rPr>
        <w:t>соответствовать</w:t>
      </w:r>
      <w:r>
        <w:tab/>
      </w:r>
      <w:r>
        <w:rPr>
          <w:spacing w:val="-2"/>
        </w:rPr>
        <w:t>ограничениям,</w:t>
      </w:r>
      <w:r>
        <w:tab/>
        <w:t>установленным</w:t>
      </w:r>
      <w:r>
        <w:rPr>
          <w:spacing w:val="-18"/>
        </w:rPr>
        <w:t xml:space="preserve"> </w:t>
      </w:r>
      <w:hyperlink r:id="rId12" w:anchor="dst7645">
        <w:r>
          <w:t>абзацами</w:t>
        </w:r>
      </w:hyperlink>
      <w:r>
        <w:t xml:space="preserve"> </w:t>
      </w:r>
      <w:hyperlink r:id="rId13" w:anchor="dst7645">
        <w:r>
          <w:t>вторым</w:t>
        </w:r>
      </w:hyperlink>
      <w:r>
        <w:t xml:space="preserve"> и </w:t>
      </w:r>
      <w:hyperlink r:id="rId14" w:anchor="dst7646">
        <w:r>
          <w:t>третьим</w:t>
        </w:r>
      </w:hyperlink>
      <w:r>
        <w:t xml:space="preserve"> настоящего пункта</w:t>
      </w:r>
      <w:proofErr w:type="gramStart"/>
      <w:r>
        <w:t>.».</w:t>
      </w:r>
      <w:proofErr w:type="gramEnd"/>
    </w:p>
    <w:p w:rsidR="004378F7" w:rsidRDefault="005B2AA4" w:rsidP="005B2AA4">
      <w:pPr>
        <w:pStyle w:val="a4"/>
        <w:tabs>
          <w:tab w:val="left" w:pos="824"/>
        </w:tabs>
        <w:ind w:right="106" w:firstLine="0"/>
        <w:jc w:val="left"/>
        <w:rPr>
          <w:sz w:val="28"/>
        </w:rPr>
      </w:pPr>
      <w:r>
        <w:rPr>
          <w:sz w:val="28"/>
        </w:rPr>
        <w:t xml:space="preserve">2. Обнародовать настоящее решение в соответствии с порядком утверждённым Уставом </w:t>
      </w:r>
      <w:proofErr w:type="spellStart"/>
      <w:r w:rsidR="00617433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617433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(</w:t>
      </w:r>
      <w:r w:rsidRPr="005B2AA4">
        <w:rPr>
          <w:sz w:val="28"/>
        </w:rPr>
        <w:t>https://slonczinskoe-r31.gosweb.gosuslugi.ru/</w:t>
      </w:r>
      <w:r>
        <w:rPr>
          <w:sz w:val="28"/>
        </w:rPr>
        <w:t>) в сети Интернет.</w:t>
      </w:r>
    </w:p>
    <w:p w:rsidR="004378F7" w:rsidRPr="005B2AA4" w:rsidRDefault="005B2AA4" w:rsidP="005B2AA4">
      <w:pPr>
        <w:pStyle w:val="a4"/>
        <w:numPr>
          <w:ilvl w:val="0"/>
          <w:numId w:val="2"/>
        </w:numPr>
        <w:tabs>
          <w:tab w:val="left" w:pos="824"/>
        </w:tabs>
        <w:ind w:right="106"/>
        <w:jc w:val="left"/>
        <w:rPr>
          <w:sz w:val="28"/>
        </w:rPr>
      </w:pPr>
      <w:proofErr w:type="gramStart"/>
      <w:r w:rsidRPr="005B2AA4">
        <w:rPr>
          <w:sz w:val="28"/>
        </w:rPr>
        <w:t>Контроль</w:t>
      </w:r>
      <w:r w:rsidRPr="005B2AA4">
        <w:rPr>
          <w:spacing w:val="-10"/>
          <w:sz w:val="28"/>
        </w:rPr>
        <w:t xml:space="preserve"> </w:t>
      </w:r>
      <w:r w:rsidRPr="005B2AA4">
        <w:rPr>
          <w:sz w:val="28"/>
        </w:rPr>
        <w:t>за</w:t>
      </w:r>
      <w:proofErr w:type="gramEnd"/>
      <w:r w:rsidRPr="005B2AA4">
        <w:rPr>
          <w:spacing w:val="-5"/>
          <w:sz w:val="28"/>
        </w:rPr>
        <w:t xml:space="preserve"> </w:t>
      </w:r>
      <w:r w:rsidRPr="005B2AA4">
        <w:rPr>
          <w:sz w:val="28"/>
        </w:rPr>
        <w:t>выполнением</w:t>
      </w:r>
      <w:r w:rsidRPr="005B2AA4">
        <w:rPr>
          <w:spacing w:val="-6"/>
          <w:sz w:val="28"/>
        </w:rPr>
        <w:t xml:space="preserve"> </w:t>
      </w:r>
      <w:r w:rsidRPr="005B2AA4">
        <w:rPr>
          <w:sz w:val="28"/>
        </w:rPr>
        <w:t>настоящего</w:t>
      </w:r>
      <w:r w:rsidRPr="005B2AA4">
        <w:rPr>
          <w:spacing w:val="-7"/>
          <w:sz w:val="28"/>
        </w:rPr>
        <w:t xml:space="preserve"> </w:t>
      </w:r>
      <w:r w:rsidRPr="005B2AA4">
        <w:rPr>
          <w:sz w:val="28"/>
        </w:rPr>
        <w:t>решения</w:t>
      </w:r>
      <w:r w:rsidRPr="005B2AA4">
        <w:rPr>
          <w:spacing w:val="-7"/>
          <w:sz w:val="28"/>
        </w:rPr>
        <w:t xml:space="preserve"> </w:t>
      </w:r>
      <w:r w:rsidRPr="005B2AA4">
        <w:rPr>
          <w:sz w:val="28"/>
        </w:rPr>
        <w:t>оставляю</w:t>
      </w:r>
      <w:r w:rsidRPr="005B2AA4">
        <w:rPr>
          <w:spacing w:val="-8"/>
          <w:sz w:val="28"/>
        </w:rPr>
        <w:t xml:space="preserve"> </w:t>
      </w:r>
      <w:r w:rsidRPr="005B2AA4">
        <w:rPr>
          <w:sz w:val="28"/>
        </w:rPr>
        <w:t>за</w:t>
      </w:r>
      <w:r w:rsidRPr="005B2AA4">
        <w:rPr>
          <w:spacing w:val="-5"/>
          <w:sz w:val="28"/>
        </w:rPr>
        <w:t xml:space="preserve"> </w:t>
      </w:r>
      <w:r w:rsidRPr="005B2AA4">
        <w:rPr>
          <w:spacing w:val="-2"/>
          <w:sz w:val="28"/>
        </w:rPr>
        <w:t>собой.</w:t>
      </w:r>
    </w:p>
    <w:p w:rsidR="004378F7" w:rsidRDefault="004378F7">
      <w:pPr>
        <w:pStyle w:val="a3"/>
        <w:ind w:left="0"/>
        <w:jc w:val="left"/>
      </w:pPr>
    </w:p>
    <w:p w:rsidR="004378F7" w:rsidRDefault="004378F7">
      <w:pPr>
        <w:pStyle w:val="a3"/>
        <w:ind w:left="0"/>
        <w:jc w:val="left"/>
      </w:pPr>
    </w:p>
    <w:p w:rsidR="004378F7" w:rsidRDefault="004378F7">
      <w:pPr>
        <w:pStyle w:val="a3"/>
        <w:spacing w:before="4"/>
        <w:ind w:left="0"/>
        <w:jc w:val="left"/>
      </w:pPr>
    </w:p>
    <w:p w:rsidR="004378F7" w:rsidRDefault="005B2AA4">
      <w:pPr>
        <w:spacing w:line="322" w:lineRule="exact"/>
        <w:ind w:left="119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 xml:space="preserve"> </w:t>
      </w:r>
      <w:proofErr w:type="spellStart"/>
      <w:r w:rsidR="00617433">
        <w:rPr>
          <w:b/>
          <w:spacing w:val="-2"/>
          <w:sz w:val="28"/>
        </w:rPr>
        <w:t>Солонцинского</w:t>
      </w:r>
      <w:proofErr w:type="spellEnd"/>
    </w:p>
    <w:p w:rsidR="004378F7" w:rsidRDefault="005B2AA4">
      <w:pPr>
        <w:tabs>
          <w:tab w:val="left" w:pos="7837"/>
        </w:tabs>
        <w:ind w:left="119"/>
        <w:jc w:val="both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поселения                                                                         </w:t>
      </w:r>
      <w:r>
        <w:rPr>
          <w:b/>
          <w:sz w:val="28"/>
        </w:rPr>
        <w:t>Н.А. Мазурова</w:t>
      </w:r>
    </w:p>
    <w:sectPr w:rsidR="004378F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059"/>
    <w:multiLevelType w:val="multilevel"/>
    <w:tmpl w:val="EFEA97B4"/>
    <w:lvl w:ilvl="0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1">
    <w:nsid w:val="665A4580"/>
    <w:multiLevelType w:val="hybridMultilevel"/>
    <w:tmpl w:val="0096C212"/>
    <w:lvl w:ilvl="0" w:tplc="FCE69672">
      <w:start w:val="3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378F7"/>
    <w:rsid w:val="004378F7"/>
    <w:rsid w:val="005B2AA4"/>
    <w:rsid w:val="00617433"/>
    <w:rsid w:val="008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0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4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0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4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74/aa129af3559dd1fc2b3201c05ced33582fe3d193/" TargetMode="External"/><Relationship Id="rId13" Type="http://schemas.openxmlformats.org/officeDocument/2006/relationships/hyperlink" Target="https://www.consultant.ru/document/cons_doc_LAW_469774/7b5f77362fb1983215e0525ce8a2b08de83e1db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3131/03a9972d95dd7219193e72423cfb6e2770369ba4/" TargetMode="External"/><Relationship Id="rId12" Type="http://schemas.openxmlformats.org/officeDocument/2006/relationships/hyperlink" Target="https://www.consultant.ru/document/cons_doc_LAW_469774/7b5f77362fb1983215e0525ce8a2b08de83e1db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69774/7b5f77362fb1983215e0525ce8a2b08de83e1db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69774/7b5f77362fb1983215e0525ce8a2b08de83e1db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9774/0fb55fd4f1a32378f69c2bcc0c058b518c2dee20/" TargetMode="External"/><Relationship Id="rId14" Type="http://schemas.openxmlformats.org/officeDocument/2006/relationships/hyperlink" Target="https://www.consultant.ru/document/cons_doc_LAW_469774/7b5f77362fb1983215e0525ce8a2b08de83e1db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111</cp:lastModifiedBy>
  <cp:revision>3</cp:revision>
  <cp:lastPrinted>2024-11-14T06:36:00Z</cp:lastPrinted>
  <dcterms:created xsi:type="dcterms:W3CDTF">2024-11-12T04:54:00Z</dcterms:created>
  <dcterms:modified xsi:type="dcterms:W3CDTF">2024-11-14T06:42:00Z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www.ilovepdf.com</vt:lpwstr>
  </property>
</Properties>
</file>